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00" w:firstLineChars="200"/>
        <w:rPr>
          <w:color w:val="000000"/>
          <w:sz w:val="30"/>
          <w:szCs w:val="30"/>
        </w:rPr>
      </w:pPr>
    </w:p>
    <w:p>
      <w:pPr>
        <w:spacing w:line="360" w:lineRule="auto"/>
        <w:jc w:val="center"/>
        <w:rPr>
          <w:rFonts w:ascii="黑体" w:eastAsia="黑体"/>
          <w:b/>
          <w:sz w:val="36"/>
          <w:szCs w:val="36"/>
        </w:rPr>
      </w:pPr>
      <w:r>
        <w:rPr>
          <w:rFonts w:hint="eastAsia" w:ascii="黑体" w:eastAsia="黑体"/>
          <w:b/>
          <w:sz w:val="36"/>
          <w:szCs w:val="36"/>
        </w:rPr>
        <w:t>江 西 省 地 方 标 准</w:t>
      </w:r>
    </w:p>
    <w:p>
      <w:pPr>
        <w:pStyle w:val="11"/>
        <w:spacing w:line="360" w:lineRule="auto"/>
        <w:ind w:firstLine="221" w:firstLineChars="50"/>
        <w:jc w:val="center"/>
        <w:outlineLvl w:val="0"/>
        <w:rPr>
          <w:rFonts w:ascii="Times New Roman" w:cs="Times New Roman"/>
          <w:b/>
          <w:sz w:val="44"/>
          <w:szCs w:val="44"/>
        </w:rPr>
      </w:pPr>
      <w:r>
        <w:rPr>
          <w:rFonts w:ascii="Times New Roman" w:cs="Times New Roman"/>
          <w:b/>
          <w:sz w:val="44"/>
          <w:szCs w:val="44"/>
        </w:rPr>
        <w:t>《</w:t>
      </w:r>
      <w:r>
        <w:rPr>
          <w:rFonts w:hint="eastAsia" w:ascii="Times New Roman" w:cs="Times New Roman"/>
          <w:b/>
          <w:bCs/>
          <w:sz w:val="44"/>
          <w:szCs w:val="44"/>
        </w:rPr>
        <w:t>高速路服务区污水处理（A/O工艺）运维指南</w:t>
      </w:r>
      <w:r>
        <w:rPr>
          <w:rFonts w:ascii="Times New Roman" w:cs="Times New Roman"/>
          <w:b/>
          <w:sz w:val="44"/>
          <w:szCs w:val="44"/>
        </w:rPr>
        <w:t>》</w:t>
      </w:r>
    </w:p>
    <w:p>
      <w:pPr>
        <w:tabs>
          <w:tab w:val="center" w:pos="4680"/>
          <w:tab w:val="left" w:pos="6060"/>
        </w:tabs>
        <w:spacing w:before="120" w:beforeLines="50" w:line="360" w:lineRule="auto"/>
        <w:jc w:val="center"/>
        <w:outlineLvl w:val="0"/>
        <w:rPr>
          <w:rFonts w:eastAsia="黑体"/>
          <w:b/>
          <w:bCs/>
          <w:color w:val="000000"/>
          <w:kern w:val="0"/>
          <w:sz w:val="52"/>
          <w:szCs w:val="52"/>
        </w:rPr>
      </w:pPr>
      <w:r>
        <w:rPr>
          <w:rFonts w:eastAsia="黑体"/>
          <w:b/>
          <w:bCs/>
          <w:color w:val="000000"/>
          <w:kern w:val="0"/>
          <w:sz w:val="52"/>
          <w:szCs w:val="52"/>
        </w:rPr>
        <w:t>编</w:t>
      </w:r>
      <w:r>
        <w:rPr>
          <w:rFonts w:hint="eastAsia" w:eastAsia="黑体"/>
          <w:b/>
          <w:bCs/>
          <w:color w:val="000000"/>
          <w:kern w:val="0"/>
          <w:sz w:val="52"/>
          <w:szCs w:val="52"/>
        </w:rPr>
        <w:t xml:space="preserve"> </w:t>
      </w:r>
      <w:r>
        <w:rPr>
          <w:rFonts w:eastAsia="黑体"/>
          <w:b/>
          <w:bCs/>
          <w:color w:val="000000"/>
          <w:kern w:val="0"/>
          <w:sz w:val="52"/>
          <w:szCs w:val="52"/>
        </w:rPr>
        <w:t>制</w:t>
      </w:r>
      <w:r>
        <w:rPr>
          <w:rFonts w:hint="eastAsia" w:eastAsia="黑体"/>
          <w:b/>
          <w:bCs/>
          <w:color w:val="000000"/>
          <w:kern w:val="0"/>
          <w:sz w:val="52"/>
          <w:szCs w:val="52"/>
        </w:rPr>
        <w:t xml:space="preserve"> </w:t>
      </w:r>
      <w:r>
        <w:rPr>
          <w:rFonts w:eastAsia="黑体"/>
          <w:b/>
          <w:bCs/>
          <w:color w:val="000000"/>
          <w:kern w:val="0"/>
          <w:sz w:val="52"/>
          <w:szCs w:val="52"/>
        </w:rPr>
        <w:t>说</w:t>
      </w:r>
      <w:r>
        <w:rPr>
          <w:rFonts w:hint="eastAsia" w:eastAsia="黑体"/>
          <w:b/>
          <w:bCs/>
          <w:color w:val="000000"/>
          <w:kern w:val="0"/>
          <w:sz w:val="52"/>
          <w:szCs w:val="52"/>
        </w:rPr>
        <w:t xml:space="preserve"> </w:t>
      </w:r>
      <w:r>
        <w:rPr>
          <w:rFonts w:eastAsia="黑体"/>
          <w:b/>
          <w:bCs/>
          <w:color w:val="000000"/>
          <w:kern w:val="0"/>
          <w:sz w:val="52"/>
          <w:szCs w:val="52"/>
        </w:rPr>
        <w:t>明</w:t>
      </w:r>
    </w:p>
    <w:p>
      <w:pPr>
        <w:spacing w:line="360" w:lineRule="auto"/>
        <w:jc w:val="center"/>
        <w:rPr>
          <w:b/>
          <w:color w:val="000000"/>
          <w:sz w:val="30"/>
          <w:szCs w:val="30"/>
        </w:rPr>
      </w:pPr>
    </w:p>
    <w:p>
      <w:pPr>
        <w:spacing w:line="360" w:lineRule="auto"/>
        <w:jc w:val="center"/>
        <w:rPr>
          <w:b/>
          <w:color w:val="000000"/>
          <w:sz w:val="30"/>
          <w:szCs w:val="30"/>
        </w:rPr>
      </w:pPr>
    </w:p>
    <w:p>
      <w:pPr>
        <w:spacing w:line="360" w:lineRule="auto"/>
        <w:jc w:val="center"/>
        <w:rPr>
          <w:b/>
          <w:color w:val="000000"/>
          <w:sz w:val="32"/>
          <w:szCs w:val="32"/>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pStyle w:val="11"/>
        <w:spacing w:line="360" w:lineRule="auto"/>
        <w:ind w:firstLine="141" w:firstLineChars="50"/>
        <w:jc w:val="center"/>
        <w:outlineLvl w:val="0"/>
        <w:rPr>
          <w:rFonts w:ascii="Times New Roman" w:hAnsi="宋体" w:eastAsia="宋体" w:cs="Times New Roman"/>
          <w:b/>
          <w:kern w:val="2"/>
          <w:sz w:val="28"/>
          <w:szCs w:val="28"/>
        </w:rPr>
      </w:pPr>
      <w:r>
        <w:rPr>
          <w:rFonts w:ascii="Times New Roman" w:hAnsi="宋体" w:eastAsia="宋体" w:cs="Times New Roman"/>
          <w:b/>
          <w:kern w:val="2"/>
          <w:sz w:val="28"/>
          <w:szCs w:val="28"/>
        </w:rPr>
        <w:t>《</w:t>
      </w:r>
      <w:r>
        <w:rPr>
          <w:rFonts w:hint="eastAsia" w:ascii="Times New Roman" w:hAnsi="宋体" w:eastAsia="宋体" w:cs="Times New Roman"/>
          <w:b/>
          <w:kern w:val="2"/>
          <w:sz w:val="28"/>
          <w:szCs w:val="28"/>
        </w:rPr>
        <w:t>高速路服务区污水处理（A/O工艺）运维指南</w:t>
      </w:r>
      <w:r>
        <w:rPr>
          <w:rFonts w:ascii="Times New Roman" w:hAnsi="宋体" w:eastAsia="宋体" w:cs="Times New Roman"/>
          <w:b/>
          <w:kern w:val="2"/>
          <w:sz w:val="28"/>
          <w:szCs w:val="28"/>
        </w:rPr>
        <w:t>》</w:t>
      </w:r>
    </w:p>
    <w:p>
      <w:pPr>
        <w:spacing w:line="360" w:lineRule="auto"/>
        <w:jc w:val="center"/>
        <w:rPr>
          <w:b/>
          <w:color w:val="000000"/>
          <w:sz w:val="28"/>
          <w:szCs w:val="28"/>
        </w:rPr>
      </w:pPr>
      <w:r>
        <w:rPr>
          <w:rFonts w:hint="eastAsia" w:hAnsi="宋体"/>
          <w:b/>
          <w:color w:val="000000"/>
          <w:sz w:val="28"/>
          <w:szCs w:val="28"/>
        </w:rPr>
        <w:t>标准</w:t>
      </w:r>
      <w:r>
        <w:rPr>
          <w:rFonts w:hAnsi="宋体"/>
          <w:b/>
          <w:color w:val="000000"/>
          <w:sz w:val="28"/>
          <w:szCs w:val="28"/>
        </w:rPr>
        <w:t>编制组</w:t>
      </w:r>
    </w:p>
    <w:p>
      <w:pPr>
        <w:spacing w:line="360" w:lineRule="auto"/>
        <w:jc w:val="center"/>
        <w:rPr>
          <w:rFonts w:hAnsi="宋体"/>
          <w:b/>
          <w:sz w:val="28"/>
          <w:szCs w:val="28"/>
        </w:rPr>
        <w:sectPr>
          <w:headerReference r:id="rId3" w:type="default"/>
          <w:footerReference r:id="rId4" w:type="default"/>
          <w:footerReference r:id="rId5" w:type="even"/>
          <w:pgSz w:w="11906" w:h="16838"/>
          <w:pgMar w:top="1531" w:right="1531" w:bottom="1531" w:left="1531" w:header="851" w:footer="992" w:gutter="0"/>
          <w:cols w:space="425" w:num="1"/>
          <w:docGrid w:linePitch="312" w:charSpace="0"/>
        </w:sectPr>
      </w:pPr>
      <w:r>
        <w:rPr>
          <w:b/>
          <w:sz w:val="28"/>
          <w:szCs w:val="28"/>
        </w:rPr>
        <w:t>201</w:t>
      </w:r>
      <w:r>
        <w:rPr>
          <w:rFonts w:hint="eastAsia"/>
          <w:b/>
          <w:sz w:val="28"/>
          <w:szCs w:val="28"/>
        </w:rPr>
        <w:t>9</w:t>
      </w:r>
      <w:r>
        <w:rPr>
          <w:rFonts w:hAnsi="宋体"/>
          <w:b/>
          <w:sz w:val="28"/>
          <w:szCs w:val="28"/>
        </w:rPr>
        <w:t>年</w:t>
      </w:r>
      <w:r>
        <w:rPr>
          <w:rFonts w:hint="eastAsia"/>
          <w:b/>
          <w:sz w:val="28"/>
          <w:szCs w:val="28"/>
          <w:lang w:val="en-US" w:eastAsia="zh-CN"/>
        </w:rPr>
        <w:t>8</w:t>
      </w:r>
      <w:r>
        <w:rPr>
          <w:rFonts w:hAnsi="宋体"/>
          <w:b/>
          <w:sz w:val="28"/>
          <w:szCs w:val="28"/>
        </w:rPr>
        <w:t>月</w:t>
      </w:r>
    </w:p>
    <w:p>
      <w:pPr>
        <w:pStyle w:val="11"/>
        <w:spacing w:line="360" w:lineRule="auto"/>
        <w:ind w:firstLine="150" w:firstLineChars="50"/>
        <w:jc w:val="center"/>
        <w:rPr>
          <w:sz w:val="30"/>
          <w:szCs w:val="30"/>
        </w:rPr>
      </w:pPr>
      <w:r>
        <w:rPr>
          <w:rFonts w:hint="eastAsia"/>
          <w:sz w:val="30"/>
          <w:szCs w:val="30"/>
        </w:rPr>
        <w:t>江西省地方标准</w:t>
      </w:r>
      <w:r>
        <w:rPr>
          <w:sz w:val="30"/>
          <w:szCs w:val="30"/>
        </w:rPr>
        <w:t>《</w:t>
      </w:r>
      <w:r>
        <w:rPr>
          <w:rFonts w:hint="eastAsia" w:ascii="Times New Roman" w:hAnsi="宋体" w:cs="Times New Roman"/>
          <w:b/>
          <w:sz w:val="30"/>
          <w:szCs w:val="30"/>
        </w:rPr>
        <w:t>高速路服务区污水处理（A/O工艺）运维指南</w:t>
      </w:r>
      <w:r>
        <w:rPr>
          <w:sz w:val="30"/>
          <w:szCs w:val="30"/>
        </w:rPr>
        <w:t>》</w:t>
      </w:r>
    </w:p>
    <w:p>
      <w:pPr>
        <w:spacing w:line="360" w:lineRule="auto"/>
        <w:jc w:val="center"/>
        <w:rPr>
          <w:rFonts w:ascii="黑体" w:eastAsia="黑体"/>
          <w:color w:val="000000"/>
          <w:sz w:val="36"/>
          <w:szCs w:val="36"/>
        </w:rPr>
      </w:pPr>
      <w:r>
        <w:rPr>
          <w:rFonts w:hint="eastAsia" w:ascii="黑体" w:eastAsia="黑体"/>
          <w:color w:val="000000"/>
          <w:sz w:val="36"/>
          <w:szCs w:val="36"/>
        </w:rPr>
        <w:t>编 制 说 明</w:t>
      </w:r>
    </w:p>
    <w:p>
      <w:pPr>
        <w:spacing w:line="360" w:lineRule="auto"/>
        <w:rPr>
          <w:color w:val="000000"/>
          <w:sz w:val="24"/>
        </w:rPr>
      </w:pPr>
    </w:p>
    <w:p>
      <w:pPr>
        <w:spacing w:line="360" w:lineRule="auto"/>
        <w:ind w:left="482"/>
        <w:outlineLvl w:val="0"/>
        <w:rPr>
          <w:rFonts w:ascii="黑体" w:eastAsia="黑体"/>
          <w:color w:val="000000"/>
          <w:sz w:val="30"/>
          <w:szCs w:val="30"/>
        </w:rPr>
      </w:pPr>
      <w:r>
        <w:rPr>
          <w:rFonts w:hint="eastAsia" w:ascii="黑体" w:eastAsia="黑体"/>
          <w:color w:val="000000"/>
          <w:sz w:val="30"/>
          <w:szCs w:val="30"/>
        </w:rPr>
        <w:t>一、任务来源</w:t>
      </w:r>
    </w:p>
    <w:p>
      <w:pPr>
        <w:spacing w:line="360" w:lineRule="auto"/>
        <w:ind w:firstLine="560" w:firstLineChars="200"/>
        <w:rPr>
          <w:rFonts w:hint="eastAsia" w:hAnsi="宋体"/>
          <w:color w:val="auto"/>
          <w:sz w:val="28"/>
          <w:szCs w:val="28"/>
        </w:rPr>
      </w:pPr>
      <w:r>
        <w:rPr>
          <w:rFonts w:hAnsi="宋体"/>
          <w:color w:val="auto"/>
          <w:sz w:val="28"/>
          <w:szCs w:val="28"/>
        </w:rPr>
        <w:t>《</w:t>
      </w:r>
      <w:r>
        <w:rPr>
          <w:rFonts w:hint="eastAsia" w:hAnsi="宋体"/>
          <w:color w:val="auto"/>
          <w:sz w:val="28"/>
          <w:szCs w:val="28"/>
        </w:rPr>
        <w:t>高速路服务区污水处理（A/O工艺）运维指南</w:t>
      </w:r>
      <w:r>
        <w:rPr>
          <w:rFonts w:hAnsi="宋体"/>
          <w:color w:val="auto"/>
          <w:sz w:val="28"/>
          <w:szCs w:val="28"/>
        </w:rPr>
        <w:t>》</w:t>
      </w:r>
      <w:r>
        <w:rPr>
          <w:rFonts w:hint="eastAsia" w:hAnsi="宋体"/>
          <w:color w:val="auto"/>
          <w:sz w:val="28"/>
          <w:szCs w:val="28"/>
          <w:lang w:val="en-US" w:eastAsia="zh-CN"/>
        </w:rPr>
        <w:t>是</w:t>
      </w:r>
      <w:r>
        <w:rPr>
          <w:rFonts w:hint="eastAsia" w:hAnsi="宋体"/>
          <w:color w:val="auto"/>
          <w:sz w:val="28"/>
          <w:szCs w:val="28"/>
        </w:rPr>
        <w:t>江西省市场监督管理局下达的201</w:t>
      </w:r>
      <w:r>
        <w:rPr>
          <w:rFonts w:hint="eastAsia" w:hAnsi="宋体"/>
          <w:color w:val="auto"/>
          <w:sz w:val="28"/>
          <w:szCs w:val="28"/>
          <w:lang w:val="en-US" w:eastAsia="zh-CN"/>
        </w:rPr>
        <w:t>9</w:t>
      </w:r>
      <w:r>
        <w:rPr>
          <w:rFonts w:hint="eastAsia" w:hAnsi="宋体"/>
          <w:color w:val="auto"/>
          <w:sz w:val="28"/>
          <w:szCs w:val="28"/>
        </w:rPr>
        <w:t>年第</w:t>
      </w:r>
      <w:r>
        <w:rPr>
          <w:rFonts w:hint="eastAsia" w:hAnsi="宋体"/>
          <w:color w:val="auto"/>
          <w:sz w:val="28"/>
          <w:szCs w:val="28"/>
          <w:lang w:val="en-US" w:eastAsia="zh-CN"/>
        </w:rPr>
        <w:t>三</w:t>
      </w:r>
      <w:r>
        <w:rPr>
          <w:rFonts w:hint="eastAsia" w:hAnsi="宋体"/>
          <w:color w:val="auto"/>
          <w:sz w:val="28"/>
          <w:szCs w:val="28"/>
        </w:rPr>
        <w:t>批立项的地方标准项目。</w:t>
      </w:r>
    </w:p>
    <w:p>
      <w:pPr>
        <w:spacing w:line="360" w:lineRule="auto"/>
        <w:ind w:firstLine="560" w:firstLineChars="200"/>
        <w:rPr>
          <w:rFonts w:hAnsi="宋体"/>
          <w:color w:val="auto"/>
          <w:sz w:val="28"/>
          <w:szCs w:val="28"/>
        </w:rPr>
      </w:pPr>
      <w:r>
        <w:rPr>
          <w:rFonts w:hAnsi="宋体"/>
          <w:color w:val="auto"/>
          <w:sz w:val="28"/>
          <w:szCs w:val="28"/>
        </w:rPr>
        <w:t>标准</w:t>
      </w:r>
      <w:r>
        <w:rPr>
          <w:rFonts w:hint="eastAsia" w:hAnsi="宋体"/>
          <w:color w:val="auto"/>
          <w:sz w:val="28"/>
          <w:szCs w:val="28"/>
        </w:rPr>
        <w:t>提出</w:t>
      </w:r>
      <w:r>
        <w:rPr>
          <w:rFonts w:hAnsi="宋体"/>
          <w:color w:val="auto"/>
          <w:sz w:val="28"/>
          <w:szCs w:val="28"/>
        </w:rPr>
        <w:t>时间：201</w:t>
      </w:r>
      <w:r>
        <w:rPr>
          <w:rFonts w:hint="eastAsia" w:hAnsi="宋体"/>
          <w:color w:val="auto"/>
          <w:sz w:val="28"/>
          <w:szCs w:val="28"/>
        </w:rPr>
        <w:t>8年6月，要求完成时间</w:t>
      </w:r>
      <w:r>
        <w:rPr>
          <w:rFonts w:hAnsi="宋体"/>
          <w:color w:val="auto"/>
          <w:sz w:val="28"/>
          <w:szCs w:val="28"/>
        </w:rPr>
        <w:t>201</w:t>
      </w:r>
      <w:r>
        <w:rPr>
          <w:rFonts w:hint="eastAsia" w:hAnsi="宋体"/>
          <w:color w:val="auto"/>
          <w:sz w:val="28"/>
          <w:szCs w:val="28"/>
        </w:rPr>
        <w:t>9年</w:t>
      </w:r>
      <w:r>
        <w:rPr>
          <w:rFonts w:hint="eastAsia" w:hAnsi="宋体"/>
          <w:color w:val="auto"/>
          <w:sz w:val="28"/>
          <w:szCs w:val="28"/>
          <w:lang w:val="en-US" w:eastAsia="zh-CN"/>
        </w:rPr>
        <w:t>6</w:t>
      </w:r>
      <w:r>
        <w:rPr>
          <w:rFonts w:hint="eastAsia" w:hAnsi="宋体"/>
          <w:color w:val="auto"/>
          <w:sz w:val="28"/>
          <w:szCs w:val="28"/>
        </w:rPr>
        <w:t>月</w:t>
      </w:r>
      <w:r>
        <w:rPr>
          <w:rFonts w:hAnsi="宋体"/>
          <w:color w:val="auto"/>
          <w:sz w:val="28"/>
          <w:szCs w:val="28"/>
        </w:rPr>
        <w:t>。</w:t>
      </w:r>
    </w:p>
    <w:p>
      <w:pPr>
        <w:spacing w:line="360" w:lineRule="auto"/>
        <w:ind w:firstLine="560" w:firstLineChars="200"/>
        <w:rPr>
          <w:rFonts w:hAnsi="宋体"/>
          <w:color w:val="auto"/>
          <w:sz w:val="28"/>
          <w:szCs w:val="28"/>
        </w:rPr>
      </w:pPr>
      <w:r>
        <w:rPr>
          <w:rFonts w:hint="eastAsia" w:hAnsi="宋体"/>
          <w:color w:val="auto"/>
          <w:sz w:val="28"/>
          <w:szCs w:val="28"/>
        </w:rPr>
        <w:t>本</w:t>
      </w:r>
      <w:r>
        <w:rPr>
          <w:rFonts w:hAnsi="宋体"/>
          <w:color w:val="auto"/>
          <w:sz w:val="28"/>
          <w:szCs w:val="28"/>
        </w:rPr>
        <w:t>标准由</w:t>
      </w:r>
      <w:r>
        <w:rPr>
          <w:rFonts w:hint="eastAsia" w:hAnsi="宋体"/>
          <w:color w:val="auto"/>
          <w:sz w:val="28"/>
          <w:szCs w:val="28"/>
        </w:rPr>
        <w:t>江西省交通科学研究院提出。</w:t>
      </w:r>
    </w:p>
    <w:p>
      <w:pPr>
        <w:spacing w:line="360" w:lineRule="auto"/>
        <w:ind w:firstLine="560" w:firstLineChars="200"/>
        <w:rPr>
          <w:rFonts w:hAnsi="宋体"/>
          <w:color w:val="auto"/>
          <w:sz w:val="28"/>
          <w:szCs w:val="28"/>
        </w:rPr>
      </w:pPr>
      <w:r>
        <w:rPr>
          <w:rFonts w:hint="eastAsia" w:hAnsi="宋体"/>
          <w:color w:val="auto"/>
          <w:sz w:val="28"/>
          <w:szCs w:val="28"/>
        </w:rPr>
        <w:t>本标准由</w:t>
      </w:r>
      <w:r>
        <w:rPr>
          <w:rFonts w:hAnsi="宋体"/>
          <w:color w:val="auto"/>
          <w:sz w:val="28"/>
          <w:szCs w:val="28"/>
        </w:rPr>
        <w:t>江西省交通运输厅</w:t>
      </w:r>
      <w:r>
        <w:rPr>
          <w:rFonts w:hint="eastAsia" w:hAnsi="宋体"/>
          <w:color w:val="auto"/>
          <w:sz w:val="28"/>
          <w:szCs w:val="28"/>
        </w:rPr>
        <w:t>归口管理。</w:t>
      </w:r>
    </w:p>
    <w:p>
      <w:pPr>
        <w:spacing w:line="360" w:lineRule="auto"/>
        <w:ind w:firstLine="560" w:firstLineChars="200"/>
        <w:rPr>
          <w:rFonts w:hAnsi="宋体"/>
          <w:color w:val="auto"/>
          <w:sz w:val="28"/>
          <w:szCs w:val="28"/>
        </w:rPr>
      </w:pPr>
      <w:r>
        <w:rPr>
          <w:rFonts w:hint="eastAsia" w:hAnsi="宋体"/>
          <w:color w:val="auto"/>
          <w:sz w:val="28"/>
          <w:szCs w:val="28"/>
        </w:rPr>
        <w:t>本标准起草单位：</w:t>
      </w:r>
      <w:r>
        <w:rPr>
          <w:rFonts w:hAnsi="宋体"/>
          <w:color w:val="auto"/>
          <w:sz w:val="28"/>
          <w:szCs w:val="28"/>
        </w:rPr>
        <w:t>江西省</w:t>
      </w:r>
      <w:r>
        <w:rPr>
          <w:rFonts w:hint="eastAsia" w:hAnsi="宋体"/>
          <w:color w:val="auto"/>
          <w:sz w:val="28"/>
          <w:szCs w:val="28"/>
        </w:rPr>
        <w:t>交通科学研究院。</w:t>
      </w:r>
    </w:p>
    <w:p>
      <w:pPr>
        <w:spacing w:before="120" w:beforeLines="50" w:line="360" w:lineRule="auto"/>
        <w:ind w:left="482"/>
        <w:outlineLvl w:val="0"/>
        <w:rPr>
          <w:rFonts w:ascii="黑体" w:eastAsia="黑体"/>
          <w:color w:val="auto"/>
          <w:sz w:val="30"/>
          <w:szCs w:val="30"/>
        </w:rPr>
      </w:pPr>
      <w:r>
        <w:rPr>
          <w:rFonts w:hint="eastAsia" w:ascii="黑体" w:eastAsia="黑体"/>
          <w:color w:val="auto"/>
          <w:sz w:val="30"/>
          <w:szCs w:val="30"/>
        </w:rPr>
        <w:t>二、</w:t>
      </w:r>
      <w:r>
        <w:rPr>
          <w:rFonts w:ascii="黑体" w:eastAsia="黑体"/>
          <w:color w:val="auto"/>
          <w:sz w:val="30"/>
          <w:szCs w:val="30"/>
        </w:rPr>
        <w:t>主要工作过程</w:t>
      </w:r>
    </w:p>
    <w:p>
      <w:pPr>
        <w:spacing w:line="360" w:lineRule="auto"/>
        <w:ind w:firstLine="560" w:firstLineChars="200"/>
        <w:rPr>
          <w:color w:val="auto"/>
          <w:sz w:val="28"/>
          <w:szCs w:val="28"/>
        </w:rPr>
      </w:pPr>
      <w:r>
        <w:rPr>
          <w:rFonts w:hint="eastAsia"/>
          <w:color w:val="auto"/>
          <w:sz w:val="28"/>
          <w:szCs w:val="28"/>
        </w:rPr>
        <w:t>201</w:t>
      </w:r>
      <w:r>
        <w:rPr>
          <w:rFonts w:hint="eastAsia"/>
          <w:color w:val="auto"/>
          <w:sz w:val="28"/>
          <w:szCs w:val="28"/>
          <w:lang w:val="en-US" w:eastAsia="zh-CN"/>
        </w:rPr>
        <w:t>8</w:t>
      </w:r>
      <w:r>
        <w:rPr>
          <w:rFonts w:hint="eastAsia"/>
          <w:color w:val="auto"/>
          <w:sz w:val="28"/>
          <w:szCs w:val="28"/>
        </w:rPr>
        <w:t>年</w:t>
      </w:r>
      <w:r>
        <w:rPr>
          <w:rFonts w:hint="eastAsia"/>
          <w:color w:val="auto"/>
          <w:sz w:val="28"/>
          <w:szCs w:val="28"/>
          <w:lang w:val="en-US" w:eastAsia="zh-CN"/>
        </w:rPr>
        <w:t>9</w:t>
      </w:r>
      <w:r>
        <w:rPr>
          <w:rFonts w:hint="eastAsia"/>
          <w:color w:val="auto"/>
          <w:sz w:val="28"/>
          <w:szCs w:val="28"/>
        </w:rPr>
        <w:t>月起江西省交通科学研究院收集了国内及江西省高速路服务区污水处理的相关资料，并对公路服务区运营单位、交通主管部门、环保主管部门及环保咨询机构等进行了调研。</w:t>
      </w:r>
    </w:p>
    <w:p>
      <w:pPr>
        <w:spacing w:line="360" w:lineRule="auto"/>
        <w:ind w:firstLine="560" w:firstLineChars="200"/>
        <w:rPr>
          <w:color w:val="auto"/>
          <w:sz w:val="28"/>
          <w:szCs w:val="28"/>
        </w:rPr>
      </w:pPr>
      <w:r>
        <w:rPr>
          <w:rFonts w:hint="eastAsia"/>
          <w:color w:val="auto"/>
          <w:sz w:val="28"/>
          <w:szCs w:val="28"/>
        </w:rPr>
        <w:t>201</w:t>
      </w:r>
      <w:r>
        <w:rPr>
          <w:rFonts w:hint="eastAsia"/>
          <w:color w:val="auto"/>
          <w:sz w:val="28"/>
          <w:szCs w:val="28"/>
          <w:lang w:val="en-US" w:eastAsia="zh-CN"/>
        </w:rPr>
        <w:t>9</w:t>
      </w:r>
      <w:r>
        <w:rPr>
          <w:rFonts w:hint="eastAsia"/>
          <w:color w:val="auto"/>
          <w:sz w:val="28"/>
          <w:szCs w:val="28"/>
        </w:rPr>
        <w:t>年</w:t>
      </w:r>
      <w:r>
        <w:rPr>
          <w:rFonts w:hint="eastAsia"/>
          <w:color w:val="auto"/>
          <w:sz w:val="28"/>
          <w:szCs w:val="28"/>
          <w:lang w:val="en-US" w:eastAsia="zh-CN"/>
        </w:rPr>
        <w:t>1</w:t>
      </w:r>
      <w:r>
        <w:rPr>
          <w:rFonts w:hint="eastAsia"/>
          <w:color w:val="auto"/>
          <w:sz w:val="28"/>
          <w:szCs w:val="28"/>
        </w:rPr>
        <w:t>月江西省交通科学研究院组建了标准起草工作组。</w:t>
      </w:r>
    </w:p>
    <w:p>
      <w:pPr>
        <w:spacing w:line="360" w:lineRule="auto"/>
        <w:ind w:firstLine="560" w:firstLineChars="200"/>
        <w:rPr>
          <w:color w:val="auto"/>
          <w:sz w:val="28"/>
          <w:szCs w:val="28"/>
        </w:rPr>
      </w:pPr>
      <w:r>
        <w:rPr>
          <w:rFonts w:hint="eastAsia"/>
          <w:color w:val="auto"/>
          <w:sz w:val="28"/>
          <w:szCs w:val="28"/>
        </w:rPr>
        <w:t>201</w:t>
      </w:r>
      <w:r>
        <w:rPr>
          <w:rFonts w:hint="eastAsia"/>
          <w:color w:val="auto"/>
          <w:sz w:val="28"/>
          <w:szCs w:val="28"/>
          <w:lang w:val="en-US" w:eastAsia="zh-CN"/>
        </w:rPr>
        <w:t>9</w:t>
      </w:r>
      <w:r>
        <w:rPr>
          <w:rFonts w:hint="eastAsia"/>
          <w:color w:val="auto"/>
          <w:sz w:val="28"/>
          <w:szCs w:val="28"/>
        </w:rPr>
        <w:t>年</w:t>
      </w:r>
      <w:r>
        <w:rPr>
          <w:rFonts w:hint="eastAsia"/>
          <w:color w:val="auto"/>
          <w:sz w:val="28"/>
          <w:szCs w:val="28"/>
          <w:lang w:val="en-US" w:eastAsia="zh-CN"/>
        </w:rPr>
        <w:t>3</w:t>
      </w:r>
      <w:r>
        <w:rPr>
          <w:rFonts w:hint="eastAsia"/>
          <w:color w:val="auto"/>
          <w:sz w:val="28"/>
          <w:szCs w:val="28"/>
        </w:rPr>
        <w:t>月，标准起草工作组召开了第一次工作会议。会议明确了地方标准起草工作要求，就标准的基本框架及内容进行了充分讨论，对工作组成员分工、工作进度及时限要求作了具体</w:t>
      </w:r>
      <w:r>
        <w:rPr>
          <w:rFonts w:hint="eastAsia"/>
          <w:color w:val="auto"/>
          <w:sz w:val="28"/>
          <w:szCs w:val="28"/>
          <w:lang w:val="en-US" w:eastAsia="zh-CN"/>
        </w:rPr>
        <w:t>部署</w:t>
      </w:r>
      <w:r>
        <w:rPr>
          <w:rFonts w:hint="eastAsia"/>
          <w:color w:val="auto"/>
          <w:sz w:val="28"/>
          <w:szCs w:val="28"/>
        </w:rPr>
        <w:t>。</w:t>
      </w:r>
    </w:p>
    <w:p>
      <w:pPr>
        <w:spacing w:line="360" w:lineRule="auto"/>
        <w:ind w:firstLine="560" w:firstLineChars="200"/>
        <w:rPr>
          <w:rFonts w:hint="eastAsia"/>
          <w:color w:val="auto"/>
          <w:sz w:val="28"/>
          <w:szCs w:val="28"/>
          <w:lang w:eastAsia="zh-CN"/>
        </w:rPr>
      </w:pPr>
      <w:r>
        <w:rPr>
          <w:rFonts w:hint="eastAsia"/>
          <w:color w:val="auto"/>
          <w:sz w:val="28"/>
          <w:szCs w:val="28"/>
        </w:rPr>
        <w:t>2018年</w:t>
      </w:r>
      <w:r>
        <w:rPr>
          <w:rFonts w:hint="eastAsia"/>
          <w:color w:val="auto"/>
          <w:sz w:val="28"/>
          <w:szCs w:val="28"/>
          <w:lang w:val="en-US" w:eastAsia="zh-CN"/>
        </w:rPr>
        <w:t>5</w:t>
      </w:r>
      <w:r>
        <w:rPr>
          <w:rFonts w:hint="eastAsia"/>
          <w:color w:val="auto"/>
          <w:sz w:val="28"/>
          <w:szCs w:val="28"/>
        </w:rPr>
        <w:t>月</w:t>
      </w:r>
      <w:r>
        <w:rPr>
          <w:rFonts w:hint="eastAsia"/>
          <w:color w:val="auto"/>
          <w:sz w:val="28"/>
          <w:szCs w:val="28"/>
          <w:lang w:eastAsia="zh-CN"/>
        </w:rPr>
        <w:t>标准编制组向省质监局提交了本标准的项目建议书和标准初稿草稿，省质监局组织专家对本标准</w:t>
      </w:r>
      <w:r>
        <w:rPr>
          <w:rFonts w:hint="eastAsia"/>
          <w:color w:val="auto"/>
          <w:sz w:val="28"/>
          <w:szCs w:val="28"/>
          <w:lang w:val="en-US" w:eastAsia="zh-CN"/>
        </w:rPr>
        <w:t>初</w:t>
      </w:r>
      <w:r>
        <w:rPr>
          <w:rFonts w:hint="eastAsia"/>
          <w:color w:val="auto"/>
          <w:sz w:val="28"/>
          <w:szCs w:val="28"/>
          <w:lang w:eastAsia="zh-CN"/>
        </w:rPr>
        <w:t>稿进行了评审，并提出了相关意见和建议。</w:t>
      </w:r>
    </w:p>
    <w:p>
      <w:pPr>
        <w:spacing w:line="360" w:lineRule="auto"/>
        <w:ind w:firstLine="560" w:firstLineChars="200"/>
        <w:rPr>
          <w:rFonts w:hint="default"/>
          <w:color w:val="auto"/>
          <w:sz w:val="28"/>
          <w:szCs w:val="28"/>
          <w:lang w:val="en-US" w:eastAsia="zh-CN"/>
        </w:rPr>
      </w:pPr>
      <w:r>
        <w:rPr>
          <w:rFonts w:hint="eastAsia"/>
          <w:color w:val="auto"/>
          <w:sz w:val="28"/>
          <w:szCs w:val="28"/>
          <w:lang w:val="en-US" w:eastAsia="zh-CN"/>
        </w:rPr>
        <w:t>2019年5月，江西省市场监督管理局下达的2019年第三批立项的地方标准项目中包括本标准。</w:t>
      </w:r>
    </w:p>
    <w:p>
      <w:pPr>
        <w:spacing w:line="360" w:lineRule="auto"/>
        <w:ind w:firstLine="560" w:firstLineChars="200"/>
        <w:rPr>
          <w:color w:val="auto"/>
          <w:sz w:val="28"/>
          <w:szCs w:val="28"/>
        </w:rPr>
      </w:pPr>
      <w:r>
        <w:rPr>
          <w:color w:val="auto"/>
          <w:sz w:val="28"/>
          <w:szCs w:val="28"/>
        </w:rPr>
        <w:t>201</w:t>
      </w:r>
      <w:r>
        <w:rPr>
          <w:rFonts w:hint="eastAsia"/>
          <w:color w:val="auto"/>
          <w:sz w:val="28"/>
          <w:szCs w:val="28"/>
          <w:lang w:val="en-US" w:eastAsia="zh-CN"/>
        </w:rPr>
        <w:t>9</w:t>
      </w:r>
      <w:r>
        <w:rPr>
          <w:color w:val="auto"/>
          <w:sz w:val="28"/>
          <w:szCs w:val="28"/>
        </w:rPr>
        <w:t>年</w:t>
      </w:r>
      <w:r>
        <w:rPr>
          <w:rFonts w:hint="eastAsia"/>
          <w:color w:val="auto"/>
          <w:sz w:val="28"/>
          <w:szCs w:val="28"/>
        </w:rPr>
        <w:t>6</w:t>
      </w:r>
      <w:r>
        <w:rPr>
          <w:color w:val="auto"/>
          <w:sz w:val="28"/>
          <w:szCs w:val="28"/>
        </w:rPr>
        <w:t>月</w:t>
      </w:r>
      <w:r>
        <w:rPr>
          <w:rFonts w:hint="eastAsia"/>
          <w:color w:val="auto"/>
          <w:sz w:val="28"/>
          <w:szCs w:val="28"/>
        </w:rPr>
        <w:t>~2019年</w:t>
      </w:r>
      <w:r>
        <w:rPr>
          <w:rFonts w:hint="eastAsia"/>
          <w:color w:val="auto"/>
          <w:sz w:val="28"/>
          <w:szCs w:val="28"/>
          <w:lang w:val="en-US" w:eastAsia="zh-CN"/>
        </w:rPr>
        <w:t>8</w:t>
      </w:r>
      <w:r>
        <w:rPr>
          <w:rFonts w:hint="eastAsia"/>
          <w:color w:val="auto"/>
          <w:sz w:val="28"/>
          <w:szCs w:val="28"/>
        </w:rPr>
        <w:t>月</w:t>
      </w:r>
      <w:r>
        <w:rPr>
          <w:color w:val="auto"/>
          <w:sz w:val="28"/>
          <w:szCs w:val="28"/>
        </w:rPr>
        <w:t>，</w:t>
      </w:r>
      <w:r>
        <w:rPr>
          <w:rFonts w:hint="eastAsia"/>
          <w:color w:val="auto"/>
          <w:sz w:val="28"/>
          <w:szCs w:val="28"/>
        </w:rPr>
        <w:t>在进一步调查、分析和研究的基础上，起草了本标准征求意见稿。</w:t>
      </w:r>
    </w:p>
    <w:p>
      <w:pPr>
        <w:spacing w:before="120" w:beforeLines="50" w:line="360" w:lineRule="auto"/>
        <w:ind w:left="482"/>
        <w:outlineLvl w:val="0"/>
        <w:rPr>
          <w:rFonts w:ascii="黑体" w:eastAsia="黑体"/>
          <w:color w:val="000000"/>
          <w:sz w:val="30"/>
          <w:szCs w:val="30"/>
        </w:rPr>
      </w:pPr>
      <w:r>
        <w:rPr>
          <w:rFonts w:hint="eastAsia" w:ascii="黑体" w:eastAsia="黑体"/>
          <w:color w:val="000000"/>
          <w:sz w:val="30"/>
          <w:szCs w:val="30"/>
        </w:rPr>
        <w:t>三、标准编制的</w:t>
      </w:r>
      <w:r>
        <w:rPr>
          <w:rFonts w:ascii="黑体" w:eastAsia="黑体"/>
          <w:color w:val="000000"/>
          <w:sz w:val="30"/>
          <w:szCs w:val="30"/>
        </w:rPr>
        <w:t>目的和意义</w:t>
      </w:r>
    </w:p>
    <w:p>
      <w:pPr>
        <w:spacing w:line="360" w:lineRule="auto"/>
        <w:ind w:firstLine="560" w:firstLineChars="200"/>
        <w:rPr>
          <w:rFonts w:hAnsi="宋体"/>
          <w:color w:val="000000"/>
          <w:sz w:val="28"/>
          <w:szCs w:val="28"/>
        </w:rPr>
      </w:pPr>
      <w:r>
        <w:rPr>
          <w:rFonts w:hint="eastAsia"/>
          <w:color w:val="000000"/>
          <w:sz w:val="28"/>
          <w:szCs w:val="28"/>
        </w:rPr>
        <w:t>公路是国家的重要基础设施之一，在促进社会经济的快速发展过程中发挥着举足轻重的作用。根据《江西省“十三五”综合交通运输体系发展规划》，未来江西省高速公路将建成“四纵六横八射线”公路网，高速公路通车里程</w:t>
      </w:r>
      <w:r>
        <w:rPr>
          <w:rFonts w:hint="eastAsia"/>
          <w:color w:val="000000"/>
          <w:sz w:val="28"/>
          <w:szCs w:val="28"/>
          <w:lang w:val="en-US" w:eastAsia="zh-CN"/>
        </w:rPr>
        <w:t>已超过</w:t>
      </w:r>
      <w:r>
        <w:rPr>
          <w:rFonts w:hint="eastAsia"/>
          <w:color w:val="000000"/>
          <w:sz w:val="28"/>
          <w:szCs w:val="28"/>
        </w:rPr>
        <w:t>6000公里。伴随公路的高速发展，服务区产生的污水引发的生态环境问题已日益凸显。不少地区已经出现环保投诉问题。近年来全国各省陆续制定了高速公路服务区设计规范，</w:t>
      </w:r>
      <w:r>
        <w:rPr>
          <w:rFonts w:hint="eastAsia"/>
          <w:color w:val="000000"/>
          <w:sz w:val="28"/>
          <w:szCs w:val="28"/>
          <w:lang w:val="en-US" w:eastAsia="zh-CN"/>
        </w:rPr>
        <w:t>目的是</w:t>
      </w:r>
      <w:r>
        <w:rPr>
          <w:rFonts w:hint="eastAsia"/>
          <w:color w:val="000000"/>
          <w:sz w:val="28"/>
          <w:szCs w:val="28"/>
        </w:rPr>
        <w:t>规范高速公路的设计施工。江西省于2013</w:t>
      </w:r>
      <w:r>
        <w:rPr>
          <w:rFonts w:hint="eastAsia"/>
          <w:color w:val="000000"/>
          <w:sz w:val="28"/>
          <w:szCs w:val="28"/>
          <w:lang w:val="en-US" w:eastAsia="zh-CN"/>
        </w:rPr>
        <w:t>年</w:t>
      </w:r>
      <w:r>
        <w:rPr>
          <w:rFonts w:hint="eastAsia"/>
          <w:color w:val="000000"/>
          <w:sz w:val="28"/>
          <w:szCs w:val="28"/>
        </w:rPr>
        <w:t>3</w:t>
      </w:r>
      <w:r>
        <w:rPr>
          <w:rFonts w:hint="eastAsia"/>
          <w:color w:val="000000"/>
          <w:sz w:val="28"/>
          <w:szCs w:val="28"/>
          <w:lang w:val="en-US" w:eastAsia="zh-CN"/>
        </w:rPr>
        <w:t>月</w:t>
      </w:r>
      <w:r>
        <w:rPr>
          <w:rFonts w:hint="eastAsia"/>
          <w:color w:val="000000"/>
          <w:sz w:val="28"/>
          <w:szCs w:val="28"/>
        </w:rPr>
        <w:t>1</w:t>
      </w:r>
      <w:r>
        <w:rPr>
          <w:rFonts w:hint="eastAsia"/>
          <w:color w:val="000000"/>
          <w:sz w:val="28"/>
          <w:szCs w:val="28"/>
          <w:lang w:val="en-US" w:eastAsia="zh-CN"/>
        </w:rPr>
        <w:t>日</w:t>
      </w:r>
      <w:r>
        <w:rPr>
          <w:rFonts w:hint="eastAsia"/>
          <w:color w:val="000000"/>
          <w:sz w:val="28"/>
          <w:szCs w:val="28"/>
        </w:rPr>
        <w:t>实施了地方标准《高速公路服务区设计规范》</w:t>
      </w:r>
      <w:r>
        <w:rPr>
          <w:rFonts w:hint="eastAsia"/>
          <w:color w:val="000000"/>
          <w:sz w:val="28"/>
          <w:szCs w:val="28"/>
          <w:lang w:eastAsia="zh-CN"/>
        </w:rPr>
        <w:t>（</w:t>
      </w:r>
      <w:r>
        <w:rPr>
          <w:rFonts w:hint="eastAsia"/>
          <w:color w:val="000000"/>
          <w:sz w:val="28"/>
          <w:szCs w:val="28"/>
        </w:rPr>
        <w:t>DB 36/T 698</w:t>
      </w:r>
      <w:r>
        <w:rPr>
          <w:rFonts w:hint="eastAsia"/>
          <w:color w:val="000000"/>
          <w:sz w:val="28"/>
          <w:szCs w:val="28"/>
          <w:lang w:eastAsia="zh-CN"/>
        </w:rPr>
        <w:t>）</w:t>
      </w:r>
      <w:r>
        <w:rPr>
          <w:rFonts w:hint="eastAsia"/>
          <w:color w:val="000000"/>
          <w:sz w:val="28"/>
          <w:szCs w:val="28"/>
        </w:rPr>
        <w:t>其中明确规定服务区必须建设污水处理设施，污水必须处理达到排放标准后才能回用或排放。</w:t>
      </w:r>
    </w:p>
    <w:p>
      <w:pPr>
        <w:spacing w:line="360" w:lineRule="auto"/>
        <w:ind w:firstLine="560" w:firstLineChars="200"/>
        <w:rPr>
          <w:rFonts w:hAnsi="宋体"/>
          <w:sz w:val="28"/>
          <w:szCs w:val="28"/>
        </w:rPr>
      </w:pPr>
      <w:r>
        <w:rPr>
          <w:rFonts w:hint="eastAsia" w:hAnsi="宋体"/>
          <w:sz w:val="28"/>
          <w:szCs w:val="28"/>
        </w:rPr>
        <w:t>编制目的：通过编制《高速路服务区污水处理（A/O工艺）运维指南》，为服务区运营单位自主开展服务区污水处理工作从设计、施工、运维方面提供具体详细指导性标准，使其能够独立或者在相关咨询机构支持下，顺利完成服务区污水处理工作。同时减少处理过程中的能耗、物耗减少浪费。</w:t>
      </w:r>
    </w:p>
    <w:p>
      <w:pPr>
        <w:spacing w:line="360" w:lineRule="auto"/>
        <w:ind w:firstLine="560" w:firstLineChars="200"/>
        <w:rPr>
          <w:rFonts w:hAnsi="宋体"/>
          <w:sz w:val="28"/>
          <w:szCs w:val="28"/>
        </w:rPr>
      </w:pPr>
      <w:r>
        <w:rPr>
          <w:rFonts w:hint="eastAsia" w:hAnsi="宋体"/>
          <w:sz w:val="28"/>
          <w:szCs w:val="28"/>
        </w:rPr>
        <w:t>编制意义：标准的编制细化落实了《建设项目环境保护管理条例》及生态环境部、江西省生态环境厅关于自主开展环境保护验收的程序和标准的要求，可指导建设单位自主开展竣工环境保护验收工作、提高其环境保护工作质量、优化建设项目竣工环境保护验收的程序，使环境保护相关费用得到有效的利用，节约建设项目成本。</w:t>
      </w:r>
    </w:p>
    <w:p>
      <w:pPr>
        <w:spacing w:before="120" w:beforeLines="50" w:line="360" w:lineRule="auto"/>
        <w:ind w:left="482"/>
        <w:outlineLvl w:val="0"/>
        <w:rPr>
          <w:rFonts w:ascii="黑体" w:eastAsia="黑体"/>
          <w:sz w:val="30"/>
          <w:szCs w:val="30"/>
        </w:rPr>
      </w:pPr>
      <w:r>
        <w:rPr>
          <w:rFonts w:hint="eastAsia" w:ascii="黑体" w:eastAsia="黑体"/>
          <w:sz w:val="30"/>
          <w:szCs w:val="30"/>
        </w:rPr>
        <w:t>四、</w:t>
      </w:r>
      <w:r>
        <w:rPr>
          <w:rFonts w:ascii="黑体" w:eastAsia="黑体"/>
          <w:sz w:val="30"/>
          <w:szCs w:val="30"/>
        </w:rPr>
        <w:t>标准</w:t>
      </w:r>
      <w:r>
        <w:rPr>
          <w:rFonts w:hint="eastAsia" w:ascii="黑体" w:eastAsia="黑体"/>
          <w:sz w:val="30"/>
          <w:szCs w:val="30"/>
        </w:rPr>
        <w:t>主要技术内容</w:t>
      </w:r>
    </w:p>
    <w:p>
      <w:pPr>
        <w:spacing w:line="360" w:lineRule="auto"/>
        <w:ind w:firstLine="562" w:firstLineChars="200"/>
        <w:rPr>
          <w:color w:val="000000"/>
          <w:sz w:val="28"/>
          <w:szCs w:val="28"/>
        </w:rPr>
      </w:pPr>
      <w:r>
        <w:rPr>
          <w:rFonts w:hint="eastAsia" w:hAnsi="宋体"/>
          <w:b/>
          <w:sz w:val="28"/>
          <w:szCs w:val="28"/>
        </w:rPr>
        <w:t>本标准的适用范围：</w:t>
      </w:r>
      <w:r>
        <w:rPr>
          <w:rFonts w:hint="eastAsia"/>
          <w:color w:val="000000"/>
          <w:sz w:val="28"/>
          <w:szCs w:val="28"/>
        </w:rPr>
        <w:t>本指南适用于按照A/O工艺进行污水处理的服务区污水处理运行维护工作。SBR工艺或膜处理工艺不在本指南适用范围。本指南适用江西省辖区内高速公路服务区的污水处理运行维护工作。</w:t>
      </w:r>
    </w:p>
    <w:p>
      <w:pPr>
        <w:spacing w:line="360" w:lineRule="auto"/>
        <w:ind w:firstLine="562" w:firstLineChars="200"/>
        <w:rPr>
          <w:rFonts w:hAnsi="宋体"/>
          <w:sz w:val="28"/>
          <w:szCs w:val="28"/>
        </w:rPr>
      </w:pPr>
      <w:bookmarkStart w:id="0" w:name="_Toc495314054"/>
      <w:r>
        <w:rPr>
          <w:rFonts w:hAnsi="宋体"/>
          <w:b/>
          <w:sz w:val="28"/>
          <w:szCs w:val="28"/>
        </w:rPr>
        <w:t>标准的术语和定义</w:t>
      </w:r>
      <w:bookmarkEnd w:id="0"/>
      <w:r>
        <w:rPr>
          <w:rFonts w:hint="eastAsia" w:hAnsi="宋体"/>
          <w:sz w:val="28"/>
          <w:szCs w:val="28"/>
        </w:rPr>
        <w:t>:</w:t>
      </w:r>
      <w:r>
        <w:rPr>
          <w:rFonts w:hAnsi="宋体"/>
          <w:sz w:val="28"/>
          <w:szCs w:val="28"/>
        </w:rPr>
        <w:t>本</w:t>
      </w:r>
      <w:r>
        <w:rPr>
          <w:rFonts w:hint="eastAsia" w:hAnsi="宋体"/>
          <w:sz w:val="28"/>
          <w:szCs w:val="28"/>
        </w:rPr>
        <w:t>标准</w:t>
      </w:r>
      <w:r>
        <w:rPr>
          <w:rFonts w:hAnsi="宋体"/>
          <w:sz w:val="28"/>
          <w:szCs w:val="28"/>
        </w:rPr>
        <w:t>规定了</w:t>
      </w:r>
      <w:r>
        <w:rPr>
          <w:rFonts w:hint="eastAsia" w:hAnsi="宋体"/>
          <w:sz w:val="28"/>
          <w:szCs w:val="28"/>
        </w:rPr>
        <w:t>“运行维护”、“运维单位”、</w:t>
      </w:r>
      <w:r>
        <w:rPr>
          <w:rFonts w:hAnsi="宋体"/>
          <w:sz w:val="28"/>
          <w:szCs w:val="28"/>
        </w:rPr>
        <w:t>“</w:t>
      </w:r>
      <w:r>
        <w:rPr>
          <w:rFonts w:hint="eastAsia" w:hAnsi="宋体"/>
          <w:sz w:val="28"/>
          <w:szCs w:val="28"/>
        </w:rPr>
        <w:t>污水处理设施</w:t>
      </w:r>
      <w:r>
        <w:rPr>
          <w:rFonts w:hAnsi="宋体"/>
          <w:sz w:val="28"/>
          <w:szCs w:val="28"/>
        </w:rPr>
        <w:t>”</w:t>
      </w:r>
      <w:r>
        <w:rPr>
          <w:rFonts w:hint="eastAsia" w:hAnsi="宋体"/>
          <w:sz w:val="28"/>
          <w:szCs w:val="28"/>
        </w:rPr>
        <w:t>三条</w:t>
      </w:r>
      <w:r>
        <w:rPr>
          <w:rFonts w:hAnsi="宋体"/>
          <w:sz w:val="28"/>
          <w:szCs w:val="28"/>
        </w:rPr>
        <w:t>术语定义。</w:t>
      </w:r>
      <w:bookmarkStart w:id="1" w:name="_Toc495314055"/>
    </w:p>
    <w:p>
      <w:pPr>
        <w:spacing w:line="360" w:lineRule="auto"/>
        <w:ind w:firstLine="562" w:firstLineChars="200"/>
        <w:rPr>
          <w:sz w:val="28"/>
        </w:rPr>
      </w:pPr>
      <w:r>
        <w:rPr>
          <w:rFonts w:hint="eastAsia" w:hAnsi="宋体"/>
          <w:b/>
          <w:sz w:val="28"/>
          <w:szCs w:val="28"/>
        </w:rPr>
        <w:t>一般要求：</w:t>
      </w:r>
      <w:r>
        <w:rPr>
          <w:sz w:val="28"/>
        </w:rPr>
        <w:t>本</w:t>
      </w:r>
      <w:r>
        <w:rPr>
          <w:rFonts w:hint="eastAsia"/>
          <w:sz w:val="28"/>
        </w:rPr>
        <w:t>标准规定服务区污水处理的主体，污水处理日常运维的基本要求，设备的定期维护期限。</w:t>
      </w:r>
    </w:p>
    <w:bookmarkEnd w:id="1"/>
    <w:p>
      <w:pPr>
        <w:spacing w:line="360" w:lineRule="auto"/>
        <w:ind w:firstLine="562" w:firstLineChars="200"/>
        <w:rPr>
          <w:rFonts w:hAnsi="宋体"/>
          <w:sz w:val="28"/>
          <w:szCs w:val="28"/>
        </w:rPr>
      </w:pPr>
      <w:r>
        <w:rPr>
          <w:rFonts w:hint="eastAsia" w:hAnsi="宋体"/>
          <w:b/>
          <w:sz w:val="28"/>
          <w:szCs w:val="28"/>
        </w:rPr>
        <w:t>设计建设工作:</w:t>
      </w:r>
      <w:r>
        <w:rPr>
          <w:rFonts w:hint="eastAsia" w:hAnsi="宋体"/>
          <w:sz w:val="28"/>
          <w:szCs w:val="28"/>
        </w:rPr>
        <w:t>本标准规定的设计建设工作包括工程设计、工程施工两部分内容。</w:t>
      </w:r>
    </w:p>
    <w:p>
      <w:pPr>
        <w:spacing w:line="360" w:lineRule="auto"/>
        <w:ind w:firstLine="560" w:firstLineChars="200"/>
        <w:rPr>
          <w:rFonts w:hAnsi="宋体"/>
          <w:sz w:val="28"/>
          <w:szCs w:val="28"/>
        </w:rPr>
      </w:pPr>
      <w:r>
        <w:rPr>
          <w:rFonts w:hint="eastAsia" w:hAnsi="宋体"/>
          <w:sz w:val="28"/>
          <w:szCs w:val="28"/>
        </w:rPr>
        <w:t>工程设计部分规定了工程设计的基本要求，包括流量要求、设备选型、工艺流向、排放标准等。</w:t>
      </w:r>
    </w:p>
    <w:p>
      <w:pPr>
        <w:pStyle w:val="22"/>
        <w:spacing w:line="360" w:lineRule="auto"/>
        <w:ind w:firstLine="560"/>
        <w:rPr>
          <w:rFonts w:ascii="Times New Roman" w:hAnsi="宋体"/>
          <w:kern w:val="2"/>
          <w:sz w:val="28"/>
          <w:szCs w:val="28"/>
        </w:rPr>
      </w:pPr>
      <w:r>
        <w:rPr>
          <w:rFonts w:hint="eastAsia" w:ascii="Times New Roman" w:hAnsi="宋体"/>
          <w:kern w:val="2"/>
          <w:sz w:val="28"/>
          <w:szCs w:val="28"/>
        </w:rPr>
        <w:t>工程施工部分要求规定了工程施工的目的和内容，包括</w:t>
      </w:r>
      <w:r>
        <w:rPr>
          <w:rFonts w:ascii="Times New Roman" w:hAnsi="宋体"/>
          <w:kern w:val="2"/>
          <w:sz w:val="28"/>
          <w:szCs w:val="28"/>
        </w:rPr>
        <w:t>核实工程技术文件、资料准确性</w:t>
      </w:r>
      <w:r>
        <w:rPr>
          <w:rFonts w:hint="eastAsia" w:ascii="Times New Roman" w:hAnsi="宋体"/>
          <w:kern w:val="2"/>
          <w:sz w:val="28"/>
          <w:szCs w:val="28"/>
        </w:rPr>
        <w:t>；确保施工安全；</w:t>
      </w:r>
      <w:r>
        <w:rPr>
          <w:rFonts w:ascii="Times New Roman" w:hAnsi="宋体"/>
          <w:kern w:val="2"/>
          <w:sz w:val="28"/>
          <w:szCs w:val="28"/>
        </w:rPr>
        <w:t>危险品运输事故防范、应急措施</w:t>
      </w:r>
      <w:r>
        <w:rPr>
          <w:rFonts w:hint="eastAsia" w:ascii="Times New Roman" w:hAnsi="宋体"/>
          <w:kern w:val="2"/>
          <w:sz w:val="28"/>
          <w:szCs w:val="28"/>
        </w:rPr>
        <w:t>等。</w:t>
      </w:r>
    </w:p>
    <w:p>
      <w:pPr>
        <w:spacing w:line="360" w:lineRule="auto"/>
        <w:ind w:firstLine="562" w:firstLineChars="200"/>
        <w:rPr>
          <w:rFonts w:hAnsi="宋体"/>
          <w:sz w:val="28"/>
          <w:szCs w:val="28"/>
        </w:rPr>
      </w:pPr>
      <w:r>
        <w:rPr>
          <w:rFonts w:hint="eastAsia" w:hAnsi="宋体"/>
          <w:b/>
          <w:sz w:val="28"/>
          <w:szCs w:val="28"/>
        </w:rPr>
        <w:t>运行维护工作:</w:t>
      </w:r>
      <w:r>
        <w:rPr>
          <w:rFonts w:hint="eastAsia" w:hAnsi="宋体"/>
          <w:sz w:val="28"/>
          <w:szCs w:val="28"/>
        </w:rPr>
        <w:t>本标准提出了运行维护工作要求包括运维巡查内容、设备维修、日常检测、保养周期等。</w:t>
      </w:r>
    </w:p>
    <w:p>
      <w:pPr>
        <w:spacing w:line="360" w:lineRule="auto"/>
        <w:ind w:firstLine="560" w:firstLineChars="200"/>
        <w:rPr>
          <w:rFonts w:hint="eastAsia" w:hAnsi="宋体"/>
          <w:sz w:val="28"/>
          <w:szCs w:val="28"/>
        </w:rPr>
      </w:pPr>
      <w:r>
        <w:rPr>
          <w:rFonts w:hint="eastAsia" w:hAnsi="宋体"/>
          <w:sz w:val="28"/>
          <w:szCs w:val="28"/>
        </w:rPr>
        <w:t>其中日常运维巡查包括了日常巡视注意事项，提出了各种异常情况的情况描述和处理方法。设备维修包括了所用所有设备设施的日常维护、安全生产、维修方法、维护周期等。</w:t>
      </w:r>
    </w:p>
    <w:p>
      <w:pPr>
        <w:pStyle w:val="22"/>
        <w:spacing w:line="360" w:lineRule="auto"/>
        <w:ind w:firstLine="562"/>
        <w:rPr>
          <w:rFonts w:hAnsi="宋体"/>
          <w:sz w:val="28"/>
          <w:szCs w:val="28"/>
        </w:rPr>
      </w:pPr>
      <w:r>
        <w:rPr>
          <w:rFonts w:hint="eastAsia" w:ascii="Times New Roman" w:hAnsi="宋体"/>
          <w:b/>
          <w:kern w:val="2"/>
          <w:sz w:val="28"/>
          <w:szCs w:val="28"/>
        </w:rPr>
        <w:t>信息公开及备案</w:t>
      </w:r>
      <w:r>
        <w:rPr>
          <w:rFonts w:hint="eastAsia" w:hAnsi="宋体"/>
          <w:b/>
          <w:sz w:val="28"/>
          <w:szCs w:val="28"/>
        </w:rPr>
        <w:t>:</w:t>
      </w:r>
      <w:r>
        <w:rPr>
          <w:rFonts w:hint="eastAsia" w:hAnsi="宋体"/>
          <w:sz w:val="28"/>
          <w:szCs w:val="28"/>
        </w:rPr>
        <w:t>本标准规定了信息公开的方式、公开内容及时间要求；备案的时间要求、备案平台及备案信息。</w:t>
      </w:r>
    </w:p>
    <w:p>
      <w:pPr>
        <w:spacing w:before="120" w:beforeLines="50" w:line="360" w:lineRule="auto"/>
        <w:ind w:left="482"/>
        <w:outlineLvl w:val="0"/>
        <w:rPr>
          <w:rFonts w:ascii="黑体" w:eastAsia="黑体"/>
          <w:color w:val="000000"/>
          <w:sz w:val="30"/>
          <w:szCs w:val="30"/>
        </w:rPr>
      </w:pPr>
      <w:r>
        <w:rPr>
          <w:rFonts w:hint="eastAsia" w:ascii="黑体" w:eastAsia="黑体"/>
          <w:color w:val="000000"/>
          <w:sz w:val="30"/>
          <w:szCs w:val="30"/>
        </w:rPr>
        <w:t>五、与有关法律、法规和强制性标准的关系</w:t>
      </w:r>
    </w:p>
    <w:p>
      <w:pPr>
        <w:spacing w:line="360" w:lineRule="auto"/>
        <w:ind w:firstLine="560" w:firstLineChars="200"/>
        <w:rPr>
          <w:rFonts w:hAnsi="宋体"/>
          <w:color w:val="000000"/>
          <w:sz w:val="28"/>
          <w:szCs w:val="28"/>
        </w:rPr>
      </w:pPr>
      <w:r>
        <w:rPr>
          <w:rFonts w:hint="eastAsia" w:hAnsi="宋体"/>
          <w:color w:val="000000"/>
          <w:sz w:val="28"/>
          <w:szCs w:val="28"/>
        </w:rPr>
        <w:t>本标准的制定，充分参考了《中华人民共和国环境保护法》、《中华人民共和国水污染防治法》、《建设项目环境保护管理条例》、《建设项目竣工环境保护验收暂行办法》等法律法规，同时参考《污水处理设备安全技术规范》（GB28742）《污水综合排放标准》</w:t>
      </w:r>
      <w:r>
        <w:rPr>
          <w:rFonts w:hint="eastAsia" w:hAnsi="宋体"/>
          <w:color w:val="000000"/>
          <w:sz w:val="28"/>
          <w:szCs w:val="28"/>
          <w:lang w:eastAsia="zh-CN"/>
        </w:rPr>
        <w:t>（</w:t>
      </w:r>
      <w:r>
        <w:rPr>
          <w:rFonts w:hint="eastAsia" w:hAnsi="宋体"/>
          <w:color w:val="000000"/>
          <w:sz w:val="28"/>
          <w:szCs w:val="28"/>
        </w:rPr>
        <w:t>GB 8978</w:t>
      </w:r>
      <w:r>
        <w:rPr>
          <w:rFonts w:hint="eastAsia" w:hAnsi="宋体"/>
          <w:color w:val="000000"/>
          <w:sz w:val="28"/>
          <w:szCs w:val="28"/>
          <w:lang w:eastAsia="zh-CN"/>
        </w:rPr>
        <w:t>）</w:t>
      </w:r>
      <w:r>
        <w:rPr>
          <w:rFonts w:hint="eastAsia" w:hAnsi="宋体"/>
          <w:color w:val="000000"/>
          <w:sz w:val="28"/>
          <w:szCs w:val="28"/>
        </w:rPr>
        <w:t>、《生产设备安全卫生设计总则》</w:t>
      </w:r>
      <w:r>
        <w:rPr>
          <w:rFonts w:hint="eastAsia" w:hAnsi="宋体"/>
          <w:color w:val="000000"/>
          <w:sz w:val="28"/>
          <w:szCs w:val="28"/>
          <w:lang w:eastAsia="zh-CN"/>
        </w:rPr>
        <w:t>（</w:t>
      </w:r>
      <w:r>
        <w:rPr>
          <w:rFonts w:hint="eastAsia" w:hAnsi="宋体"/>
          <w:color w:val="000000"/>
          <w:sz w:val="28"/>
          <w:szCs w:val="28"/>
        </w:rPr>
        <w:t>GB5083</w:t>
      </w:r>
      <w:r>
        <w:rPr>
          <w:rFonts w:hint="eastAsia" w:hAnsi="宋体"/>
          <w:color w:val="000000"/>
          <w:sz w:val="28"/>
          <w:szCs w:val="28"/>
          <w:lang w:eastAsia="zh-CN"/>
        </w:rPr>
        <w:t>）、《</w:t>
      </w:r>
      <w:r>
        <w:rPr>
          <w:rFonts w:hint="eastAsia" w:hAnsi="宋体"/>
          <w:color w:val="000000"/>
          <w:sz w:val="28"/>
          <w:szCs w:val="28"/>
        </w:rPr>
        <w:t>建设项目竣工环境保护验收技术规范</w:t>
      </w:r>
      <w:r>
        <w:rPr>
          <w:rFonts w:hint="eastAsia" w:hAnsi="宋体"/>
          <w:color w:val="000000"/>
          <w:sz w:val="28"/>
          <w:szCs w:val="28"/>
          <w:lang w:eastAsia="zh-CN"/>
        </w:rPr>
        <w:t>》（</w:t>
      </w:r>
      <w:r>
        <w:rPr>
          <w:rFonts w:hint="eastAsia" w:hAnsi="宋体"/>
          <w:color w:val="000000"/>
          <w:sz w:val="28"/>
          <w:szCs w:val="28"/>
        </w:rPr>
        <w:t>HJ 552</w:t>
      </w:r>
      <w:r>
        <w:rPr>
          <w:rFonts w:hint="eastAsia" w:hAnsi="宋体"/>
          <w:color w:val="000000"/>
          <w:sz w:val="28"/>
          <w:szCs w:val="28"/>
          <w:lang w:eastAsia="zh-CN"/>
        </w:rPr>
        <w:t>）</w:t>
      </w:r>
      <w:r>
        <w:rPr>
          <w:rFonts w:hint="eastAsia" w:hAnsi="宋体"/>
          <w:color w:val="000000"/>
          <w:sz w:val="28"/>
          <w:szCs w:val="28"/>
        </w:rPr>
        <w:t>等导则标准。总体上，该标准与现行法律、法规</w:t>
      </w:r>
      <w:r>
        <w:rPr>
          <w:rFonts w:hint="eastAsia" w:hAnsi="宋体"/>
          <w:color w:val="000000"/>
          <w:sz w:val="28"/>
          <w:szCs w:val="28"/>
          <w:lang w:eastAsia="zh-CN"/>
        </w:rPr>
        <w:t>、</w:t>
      </w:r>
      <w:r>
        <w:rPr>
          <w:rFonts w:hint="eastAsia" w:hAnsi="宋体"/>
          <w:color w:val="000000"/>
          <w:sz w:val="28"/>
          <w:szCs w:val="28"/>
          <w:lang w:val="en-US" w:eastAsia="zh-CN"/>
        </w:rPr>
        <w:t>相关国家</w:t>
      </w:r>
      <w:r>
        <w:rPr>
          <w:rFonts w:hint="eastAsia" w:hAnsi="宋体"/>
          <w:color w:val="000000"/>
          <w:sz w:val="28"/>
          <w:szCs w:val="28"/>
        </w:rPr>
        <w:t>标准</w:t>
      </w:r>
      <w:r>
        <w:rPr>
          <w:rFonts w:hint="eastAsia" w:hAnsi="宋体"/>
          <w:color w:val="000000"/>
          <w:sz w:val="28"/>
          <w:szCs w:val="28"/>
          <w:lang w:val="en-US" w:eastAsia="zh-CN"/>
        </w:rPr>
        <w:t>和行业标准</w:t>
      </w:r>
      <w:r>
        <w:rPr>
          <w:rFonts w:hint="eastAsia" w:hAnsi="宋体"/>
          <w:color w:val="000000"/>
          <w:sz w:val="28"/>
          <w:szCs w:val="28"/>
        </w:rPr>
        <w:t>具有协调性与一致性。</w:t>
      </w:r>
    </w:p>
    <w:p>
      <w:pPr>
        <w:spacing w:before="120" w:beforeLines="50" w:line="360" w:lineRule="auto"/>
        <w:ind w:left="482"/>
        <w:outlineLvl w:val="0"/>
        <w:rPr>
          <w:rFonts w:ascii="黑体" w:eastAsia="黑体"/>
          <w:color w:val="000000"/>
          <w:sz w:val="30"/>
          <w:szCs w:val="30"/>
        </w:rPr>
      </w:pPr>
      <w:bookmarkStart w:id="2" w:name="_Toc495314062"/>
      <w:bookmarkStart w:id="3" w:name="bookmark32"/>
      <w:r>
        <w:rPr>
          <w:rFonts w:hint="eastAsia" w:ascii="黑体" w:eastAsia="黑体"/>
          <w:color w:val="000000"/>
          <w:sz w:val="30"/>
          <w:szCs w:val="30"/>
        </w:rPr>
        <w:t>六、</w:t>
      </w:r>
      <w:r>
        <w:rPr>
          <w:rFonts w:ascii="黑体" w:eastAsia="黑体"/>
          <w:color w:val="000000"/>
          <w:sz w:val="30"/>
          <w:szCs w:val="30"/>
        </w:rPr>
        <w:t>经济</w:t>
      </w:r>
      <w:r>
        <w:rPr>
          <w:rFonts w:hint="eastAsia" w:ascii="黑体" w:eastAsia="黑体"/>
          <w:color w:val="000000"/>
          <w:sz w:val="30"/>
          <w:szCs w:val="30"/>
        </w:rPr>
        <w:t>和社会效益</w:t>
      </w:r>
      <w:bookmarkEnd w:id="2"/>
    </w:p>
    <w:bookmarkEnd w:id="3"/>
    <w:p>
      <w:pPr>
        <w:spacing w:line="360" w:lineRule="auto"/>
        <w:ind w:firstLine="560" w:firstLineChars="200"/>
        <w:rPr>
          <w:sz w:val="28"/>
          <w:szCs w:val="28"/>
        </w:rPr>
      </w:pPr>
      <w:r>
        <w:rPr>
          <w:rFonts w:hint="eastAsia"/>
          <w:sz w:val="28"/>
          <w:szCs w:val="28"/>
        </w:rPr>
        <w:t>该标准的顺利发布将科学规范江西省内高速公路服务器污水处理运维工作，指导各服务器运营单位科学规范的进行服务区污水处理工作，为交通行业主管部门和环境保护主管部门提供技术支持，降低高速公路对环境的影响，减少或避免社会公众对高速公路建设项目的负面评价，有效降低高速公路环保方面的建设及运营成本，为后期环境治理减少大量财力投入。该标准的贯彻实施，将产生巨大的社会和生态效益。</w:t>
      </w:r>
    </w:p>
    <w:p>
      <w:pPr>
        <w:spacing w:before="120" w:beforeLines="50" w:line="360" w:lineRule="auto"/>
        <w:ind w:left="482"/>
        <w:outlineLvl w:val="0"/>
        <w:rPr>
          <w:rFonts w:ascii="黑体" w:eastAsia="黑体"/>
          <w:color w:val="000000"/>
          <w:sz w:val="30"/>
          <w:szCs w:val="30"/>
        </w:rPr>
      </w:pPr>
      <w:r>
        <w:rPr>
          <w:rFonts w:hint="eastAsia" w:ascii="黑体" w:eastAsia="黑体"/>
          <w:color w:val="000000"/>
          <w:sz w:val="30"/>
          <w:szCs w:val="30"/>
        </w:rPr>
        <w:t>七</w:t>
      </w:r>
      <w:r>
        <w:rPr>
          <w:rFonts w:ascii="黑体" w:eastAsia="黑体"/>
          <w:color w:val="000000"/>
          <w:sz w:val="30"/>
          <w:szCs w:val="30"/>
        </w:rPr>
        <w:t>、需要说明的其他问题</w:t>
      </w:r>
    </w:p>
    <w:p>
      <w:pPr>
        <w:spacing w:line="360" w:lineRule="auto"/>
        <w:ind w:firstLine="560" w:firstLineChars="200"/>
        <w:rPr>
          <w:sz w:val="28"/>
          <w:szCs w:val="28"/>
        </w:rPr>
      </w:pPr>
      <w:r>
        <w:rPr>
          <w:rFonts w:hint="eastAsia"/>
          <w:sz w:val="28"/>
          <w:szCs w:val="28"/>
        </w:rPr>
        <w:t>无</w:t>
      </w:r>
    </w:p>
    <w:p>
      <w:pPr>
        <w:spacing w:before="120" w:beforeLines="50" w:line="360" w:lineRule="auto"/>
        <w:ind w:left="482"/>
        <w:outlineLvl w:val="0"/>
        <w:rPr>
          <w:rFonts w:ascii="黑体" w:eastAsia="黑体"/>
          <w:color w:val="000000"/>
          <w:sz w:val="30"/>
          <w:szCs w:val="30"/>
        </w:rPr>
      </w:pPr>
      <w:r>
        <w:rPr>
          <w:rFonts w:hint="eastAsia" w:ascii="黑体" w:eastAsia="黑体"/>
          <w:color w:val="000000"/>
          <w:sz w:val="30"/>
          <w:szCs w:val="30"/>
        </w:rPr>
        <w:t>八、标准属性的建议</w:t>
      </w:r>
    </w:p>
    <w:p>
      <w:pPr>
        <w:spacing w:line="360" w:lineRule="auto"/>
        <w:ind w:firstLine="560" w:firstLineChars="200"/>
        <w:rPr>
          <w:color w:val="000000"/>
          <w:sz w:val="24"/>
        </w:rPr>
      </w:pPr>
      <w:r>
        <w:rPr>
          <w:rFonts w:hAnsi="宋体"/>
          <w:color w:val="000000"/>
          <w:sz w:val="28"/>
          <w:szCs w:val="28"/>
        </w:rPr>
        <w:t>待标准通过审查</w:t>
      </w:r>
      <w:r>
        <w:rPr>
          <w:rFonts w:hint="eastAsia" w:hAnsi="宋体"/>
          <w:color w:val="000000"/>
          <w:sz w:val="28"/>
          <w:szCs w:val="28"/>
        </w:rPr>
        <w:t>后，</w:t>
      </w:r>
      <w:r>
        <w:rPr>
          <w:rFonts w:hAnsi="宋体"/>
          <w:color w:val="000000"/>
          <w:sz w:val="28"/>
          <w:szCs w:val="28"/>
        </w:rPr>
        <w:t>建议</w:t>
      </w:r>
      <w:r>
        <w:rPr>
          <w:rFonts w:hint="eastAsia" w:hAnsi="宋体"/>
          <w:color w:val="000000"/>
          <w:sz w:val="28"/>
          <w:szCs w:val="28"/>
        </w:rPr>
        <w:t>将《高速路服务区污水处理（A/O工艺）运</w:t>
      </w:r>
      <w:bookmarkStart w:id="4" w:name="_GoBack"/>
      <w:bookmarkEnd w:id="4"/>
      <w:r>
        <w:rPr>
          <w:rFonts w:hint="eastAsia" w:hAnsi="宋体"/>
          <w:color w:val="000000"/>
          <w:sz w:val="28"/>
          <w:szCs w:val="28"/>
        </w:rPr>
        <w:t>维指南》</w:t>
      </w:r>
      <w:r>
        <w:rPr>
          <w:rFonts w:hAnsi="宋体"/>
          <w:color w:val="000000"/>
          <w:sz w:val="28"/>
          <w:szCs w:val="28"/>
        </w:rPr>
        <w:t>作为推荐性地方标准发布实施。</w:t>
      </w:r>
    </w:p>
    <w:p>
      <w:pPr>
        <w:spacing w:before="120" w:beforeLines="50" w:line="360" w:lineRule="auto"/>
        <w:ind w:left="482"/>
        <w:outlineLvl w:val="0"/>
        <w:rPr>
          <w:rFonts w:ascii="黑体" w:eastAsia="黑体"/>
          <w:color w:val="000000"/>
          <w:sz w:val="30"/>
          <w:szCs w:val="30"/>
        </w:rPr>
      </w:pPr>
      <w:r>
        <w:rPr>
          <w:rFonts w:hint="eastAsia" w:ascii="黑体" w:eastAsia="黑体"/>
          <w:color w:val="000000"/>
          <w:sz w:val="30"/>
          <w:szCs w:val="30"/>
        </w:rPr>
        <w:t>九、贯彻标准的措施建议</w:t>
      </w:r>
    </w:p>
    <w:p>
      <w:pPr>
        <w:spacing w:line="360" w:lineRule="auto"/>
        <w:ind w:firstLine="560" w:firstLineChars="200"/>
        <w:rPr>
          <w:color w:val="000000"/>
          <w:sz w:val="28"/>
          <w:szCs w:val="28"/>
        </w:rPr>
      </w:pPr>
      <w:r>
        <w:rPr>
          <w:rFonts w:hint="eastAsia"/>
          <w:color w:val="000000"/>
          <w:sz w:val="28"/>
          <w:szCs w:val="28"/>
        </w:rPr>
        <w:t>为使标准能更好地发挥技术指导作用，规范江西省高速路服务区污水处理（A/O工艺）运维工作，建议如下：</w:t>
      </w:r>
    </w:p>
    <w:p>
      <w:pPr>
        <w:spacing w:line="360" w:lineRule="auto"/>
        <w:ind w:firstLine="560" w:firstLineChars="200"/>
        <w:rPr>
          <w:color w:val="000000"/>
          <w:sz w:val="28"/>
          <w:szCs w:val="28"/>
        </w:rPr>
      </w:pPr>
      <w:r>
        <w:rPr>
          <w:rFonts w:hint="eastAsia"/>
          <w:color w:val="000000"/>
          <w:sz w:val="28"/>
          <w:szCs w:val="28"/>
        </w:rPr>
        <w:t>（1）标准发布后，由江西省交通运输厅下文所有高速路服务区污水处理运维工作，</w:t>
      </w:r>
      <w:r>
        <w:rPr>
          <w:rFonts w:hint="eastAsia"/>
          <w:color w:val="000000"/>
          <w:sz w:val="28"/>
          <w:szCs w:val="28"/>
          <w:lang w:val="en-US" w:eastAsia="zh-CN"/>
        </w:rPr>
        <w:t>均</w:t>
      </w:r>
      <w:r>
        <w:rPr>
          <w:rFonts w:hint="eastAsia"/>
          <w:color w:val="000000"/>
          <w:sz w:val="28"/>
          <w:szCs w:val="28"/>
        </w:rPr>
        <w:t>应参考本标准开展。</w:t>
      </w:r>
    </w:p>
    <w:p>
      <w:pPr>
        <w:spacing w:line="360" w:lineRule="auto"/>
        <w:ind w:firstLine="560" w:firstLineChars="200"/>
        <w:rPr>
          <w:color w:val="000000"/>
          <w:sz w:val="28"/>
          <w:szCs w:val="28"/>
        </w:rPr>
      </w:pPr>
      <w:r>
        <w:rPr>
          <w:rFonts w:hint="eastAsia"/>
          <w:color w:val="000000"/>
          <w:sz w:val="28"/>
          <w:szCs w:val="28"/>
        </w:rPr>
        <w:t>（2）做好本标准的宣贯和技术培训，使全省高速公路建设、管理、监督等有关单位掌握标准的各项要求，加强示范推广，让该标准在高速公路的建设过程中得到具体应用，不断提高高速公路服务区的污水处理技术水平。</w:t>
      </w:r>
    </w:p>
    <w:p>
      <w:pPr>
        <w:spacing w:line="360" w:lineRule="auto"/>
        <w:ind w:firstLine="560" w:firstLineChars="200"/>
        <w:rPr>
          <w:color w:val="000000"/>
          <w:sz w:val="28"/>
          <w:szCs w:val="28"/>
        </w:rPr>
      </w:pPr>
      <w:r>
        <w:rPr>
          <w:rFonts w:hint="eastAsia"/>
          <w:color w:val="000000"/>
          <w:sz w:val="28"/>
          <w:szCs w:val="28"/>
        </w:rPr>
        <w:t>（3）对本标准执行情况进行跟踪调查，及时发现标准执行中的问题，不断修改完善，提升标准编制水平，提高标准的科学性、合理性和可操作性。</w:t>
      </w:r>
    </w:p>
    <w:p>
      <w:pPr>
        <w:tabs>
          <w:tab w:val="center" w:pos="4680"/>
          <w:tab w:val="left" w:pos="6060"/>
        </w:tabs>
        <w:spacing w:line="360" w:lineRule="auto"/>
        <w:jc w:val="right"/>
        <w:rPr>
          <w:b/>
          <w:color w:val="000000"/>
          <w:sz w:val="28"/>
          <w:szCs w:val="28"/>
        </w:rPr>
      </w:pPr>
      <w:r>
        <w:rPr>
          <w:rFonts w:hint="eastAsia"/>
          <w:b/>
          <w:color w:val="000000"/>
          <w:sz w:val="28"/>
          <w:szCs w:val="28"/>
        </w:rPr>
        <w:t>标准编制小组</w:t>
      </w:r>
    </w:p>
    <w:p>
      <w:pPr>
        <w:tabs>
          <w:tab w:val="center" w:pos="4680"/>
          <w:tab w:val="left" w:pos="6060"/>
        </w:tabs>
        <w:spacing w:line="360" w:lineRule="auto"/>
        <w:jc w:val="right"/>
      </w:pPr>
      <w:r>
        <w:rPr>
          <w:rFonts w:hint="eastAsia"/>
          <w:b/>
          <w:color w:val="000000"/>
          <w:sz w:val="28"/>
          <w:szCs w:val="28"/>
        </w:rPr>
        <w:t>二O一九年</w:t>
      </w:r>
      <w:r>
        <w:rPr>
          <w:rFonts w:hint="eastAsia"/>
          <w:b/>
          <w:color w:val="000000"/>
          <w:sz w:val="28"/>
          <w:szCs w:val="28"/>
          <w:lang w:val="en-US" w:eastAsia="zh-CN"/>
        </w:rPr>
        <w:t>八</w:t>
      </w:r>
      <w:r>
        <w:rPr>
          <w:rFonts w:hint="eastAsia"/>
          <w:b/>
          <w:color w:val="000000"/>
          <w:sz w:val="28"/>
          <w:szCs w:val="28"/>
        </w:rPr>
        <w:t>月</w:t>
      </w:r>
    </w:p>
    <w:sectPr>
      <w:pgSz w:w="11906" w:h="16838"/>
      <w:pgMar w:top="1531" w:right="1531" w:bottom="1531" w:left="1531"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827359"/>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827358"/>
    </w:sdtPr>
    <w:sdtContent>
      <w:p>
        <w:pPr>
          <w:pStyle w:val="4"/>
          <w:jc w:val="center"/>
        </w:pPr>
        <w:r>
          <w:fldChar w:fldCharType="begin"/>
        </w:r>
        <w:r>
          <w:instrText xml:space="preserve"> PAGE   \* MERGEFORMAT </w:instrText>
        </w:r>
        <w:r>
          <w:fldChar w:fldCharType="separate"/>
        </w:r>
        <w:r>
          <w:rPr>
            <w:lang w:val="zh-CN"/>
          </w:rPr>
          <w:t>10</w:t>
        </w:r>
        <w:r>
          <w:rPr>
            <w:lang w:val="zh-CN"/>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18"/>
      </w:rP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2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56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E21"/>
    <w:rsid w:val="0000557B"/>
    <w:rsid w:val="000200EA"/>
    <w:rsid w:val="00047376"/>
    <w:rsid w:val="00055F03"/>
    <w:rsid w:val="000F3F7B"/>
    <w:rsid w:val="001455C0"/>
    <w:rsid w:val="0014580A"/>
    <w:rsid w:val="00176C02"/>
    <w:rsid w:val="001A7E05"/>
    <w:rsid w:val="001B77F4"/>
    <w:rsid w:val="001D205C"/>
    <w:rsid w:val="001E09CC"/>
    <w:rsid w:val="0027123A"/>
    <w:rsid w:val="002A4C91"/>
    <w:rsid w:val="00305D9C"/>
    <w:rsid w:val="003174D2"/>
    <w:rsid w:val="003323BA"/>
    <w:rsid w:val="00367E18"/>
    <w:rsid w:val="003C11BA"/>
    <w:rsid w:val="003D2B65"/>
    <w:rsid w:val="00410C85"/>
    <w:rsid w:val="004154FF"/>
    <w:rsid w:val="00447B56"/>
    <w:rsid w:val="00462335"/>
    <w:rsid w:val="00467632"/>
    <w:rsid w:val="00471FB4"/>
    <w:rsid w:val="0047688B"/>
    <w:rsid w:val="00497F19"/>
    <w:rsid w:val="004E19D0"/>
    <w:rsid w:val="004E6928"/>
    <w:rsid w:val="0050028A"/>
    <w:rsid w:val="00505A1B"/>
    <w:rsid w:val="00514353"/>
    <w:rsid w:val="00534A78"/>
    <w:rsid w:val="00551D98"/>
    <w:rsid w:val="005606D5"/>
    <w:rsid w:val="00594E21"/>
    <w:rsid w:val="0059536C"/>
    <w:rsid w:val="005D2399"/>
    <w:rsid w:val="0061004D"/>
    <w:rsid w:val="00653EEA"/>
    <w:rsid w:val="00691A45"/>
    <w:rsid w:val="00697669"/>
    <w:rsid w:val="007168FE"/>
    <w:rsid w:val="0073596B"/>
    <w:rsid w:val="007841DC"/>
    <w:rsid w:val="0079244F"/>
    <w:rsid w:val="007C4135"/>
    <w:rsid w:val="007F0A44"/>
    <w:rsid w:val="007F5683"/>
    <w:rsid w:val="00804EF2"/>
    <w:rsid w:val="00867E87"/>
    <w:rsid w:val="00892D4F"/>
    <w:rsid w:val="008A589C"/>
    <w:rsid w:val="008F0602"/>
    <w:rsid w:val="009023C9"/>
    <w:rsid w:val="00922872"/>
    <w:rsid w:val="00934833"/>
    <w:rsid w:val="00992AAF"/>
    <w:rsid w:val="00994D7A"/>
    <w:rsid w:val="009B0F53"/>
    <w:rsid w:val="009C2DFB"/>
    <w:rsid w:val="00A14C1A"/>
    <w:rsid w:val="00A518C8"/>
    <w:rsid w:val="00A554BF"/>
    <w:rsid w:val="00A67734"/>
    <w:rsid w:val="00A7050B"/>
    <w:rsid w:val="00A93669"/>
    <w:rsid w:val="00AD06F5"/>
    <w:rsid w:val="00AD43C5"/>
    <w:rsid w:val="00B52C07"/>
    <w:rsid w:val="00B53547"/>
    <w:rsid w:val="00B82E3F"/>
    <w:rsid w:val="00BA1067"/>
    <w:rsid w:val="00BF1C07"/>
    <w:rsid w:val="00C22D32"/>
    <w:rsid w:val="00C74EA1"/>
    <w:rsid w:val="00CD6402"/>
    <w:rsid w:val="00CE4F8A"/>
    <w:rsid w:val="00CE7E18"/>
    <w:rsid w:val="00CF66FB"/>
    <w:rsid w:val="00CF6C70"/>
    <w:rsid w:val="00D02F32"/>
    <w:rsid w:val="00D13710"/>
    <w:rsid w:val="00D22CEA"/>
    <w:rsid w:val="00D45BA5"/>
    <w:rsid w:val="00D96BE6"/>
    <w:rsid w:val="00DA748F"/>
    <w:rsid w:val="00DC15C1"/>
    <w:rsid w:val="00ED2826"/>
    <w:rsid w:val="00F34C53"/>
    <w:rsid w:val="00F40C64"/>
    <w:rsid w:val="00F62BFF"/>
    <w:rsid w:val="00F65F72"/>
    <w:rsid w:val="00F91CFD"/>
    <w:rsid w:val="00F977E9"/>
    <w:rsid w:val="00FA32CB"/>
    <w:rsid w:val="02E578CA"/>
    <w:rsid w:val="061E1FB9"/>
    <w:rsid w:val="06736D3E"/>
    <w:rsid w:val="08A5012F"/>
    <w:rsid w:val="09AA46AA"/>
    <w:rsid w:val="09F64833"/>
    <w:rsid w:val="0AE17811"/>
    <w:rsid w:val="0C394898"/>
    <w:rsid w:val="0C725521"/>
    <w:rsid w:val="0C98483D"/>
    <w:rsid w:val="0FFF2A02"/>
    <w:rsid w:val="170641F7"/>
    <w:rsid w:val="17C42BC6"/>
    <w:rsid w:val="1F9A0835"/>
    <w:rsid w:val="2A60444A"/>
    <w:rsid w:val="2C205F31"/>
    <w:rsid w:val="2CCE4CC4"/>
    <w:rsid w:val="2ED6640C"/>
    <w:rsid w:val="2FD756ED"/>
    <w:rsid w:val="31467557"/>
    <w:rsid w:val="34D9032C"/>
    <w:rsid w:val="39874BE1"/>
    <w:rsid w:val="3ABE0C6C"/>
    <w:rsid w:val="3B56797E"/>
    <w:rsid w:val="3C4C5D6C"/>
    <w:rsid w:val="3C6F0232"/>
    <w:rsid w:val="4F8C4D06"/>
    <w:rsid w:val="53751D43"/>
    <w:rsid w:val="53AA35D6"/>
    <w:rsid w:val="54751277"/>
    <w:rsid w:val="58E924B3"/>
    <w:rsid w:val="5A062FB5"/>
    <w:rsid w:val="5AD76D8E"/>
    <w:rsid w:val="5C745B61"/>
    <w:rsid w:val="5DC04B67"/>
    <w:rsid w:val="5E377A8E"/>
    <w:rsid w:val="5EB469B0"/>
    <w:rsid w:val="5F8C5B4E"/>
    <w:rsid w:val="5FFA1415"/>
    <w:rsid w:val="62674202"/>
    <w:rsid w:val="64BE547E"/>
    <w:rsid w:val="66D23F64"/>
    <w:rsid w:val="67330E09"/>
    <w:rsid w:val="6D114067"/>
    <w:rsid w:val="70E05955"/>
    <w:rsid w:val="74B2613F"/>
    <w:rsid w:val="75067F2D"/>
    <w:rsid w:val="757F5F4E"/>
    <w:rsid w:val="7632035B"/>
    <w:rsid w:val="76DA4DB5"/>
    <w:rsid w:val="773232EB"/>
    <w:rsid w:val="799E69DC"/>
    <w:rsid w:val="7A3F7329"/>
    <w:rsid w:val="7AB1506F"/>
    <w:rsid w:val="7CDF1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2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customStyle="1" w:styleId="11">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
    <w:name w:val="CM122"/>
    <w:basedOn w:val="11"/>
    <w:next w:val="11"/>
    <w:unhideWhenUsed/>
    <w:qFormat/>
    <w:uiPriority w:val="99"/>
    <w:rPr>
      <w:rFonts w:hint="eastAsia" w:ascii="楷体_GB2312" w:hAnsi="楷体_GB2312" w:eastAsia="楷体_GB2312" w:cstheme="minorBidi"/>
      <w:szCs w:val="22"/>
    </w:rPr>
  </w:style>
  <w:style w:type="paragraph" w:customStyle="1" w:styleId="13">
    <w:name w:val="CM121"/>
    <w:basedOn w:val="11"/>
    <w:next w:val="11"/>
    <w:unhideWhenUsed/>
    <w:qFormat/>
    <w:uiPriority w:val="99"/>
    <w:rPr>
      <w:rFonts w:hint="eastAsia" w:ascii="楷体_GB2312" w:hAnsi="楷体_GB2312" w:eastAsia="楷体_GB2312" w:cstheme="minorBidi"/>
      <w:szCs w:val="22"/>
    </w:rPr>
  </w:style>
  <w:style w:type="paragraph" w:customStyle="1" w:styleId="14">
    <w:name w:val="CM130"/>
    <w:basedOn w:val="11"/>
    <w:next w:val="11"/>
    <w:unhideWhenUsed/>
    <w:qFormat/>
    <w:uiPriority w:val="99"/>
    <w:rPr>
      <w:rFonts w:hint="eastAsia" w:ascii="楷体_GB2312" w:hAnsi="楷体_GB2312" w:eastAsia="楷体_GB2312" w:cstheme="minorBidi"/>
      <w:szCs w:val="22"/>
    </w:rPr>
  </w:style>
  <w:style w:type="paragraph" w:customStyle="1" w:styleId="15">
    <w:name w:val="CM124"/>
    <w:basedOn w:val="11"/>
    <w:next w:val="11"/>
    <w:unhideWhenUsed/>
    <w:qFormat/>
    <w:uiPriority w:val="99"/>
    <w:rPr>
      <w:rFonts w:hint="eastAsia" w:ascii="楷体_GB2312" w:hAnsi="楷体_GB2312" w:eastAsia="楷体_GB2312" w:cstheme="minorBidi"/>
      <w:szCs w:val="22"/>
    </w:rPr>
  </w:style>
  <w:style w:type="paragraph" w:customStyle="1" w:styleId="16">
    <w:name w:val="CM140"/>
    <w:basedOn w:val="11"/>
    <w:next w:val="11"/>
    <w:unhideWhenUsed/>
    <w:qFormat/>
    <w:uiPriority w:val="99"/>
    <w:rPr>
      <w:rFonts w:hint="eastAsia" w:ascii="楷体_GB2312" w:hAnsi="楷体_GB2312" w:eastAsia="楷体_GB2312" w:cstheme="minorBidi"/>
      <w:szCs w:val="22"/>
    </w:rPr>
  </w:style>
  <w:style w:type="paragraph" w:customStyle="1" w:styleId="17">
    <w:name w:val="CM82"/>
    <w:basedOn w:val="11"/>
    <w:next w:val="11"/>
    <w:unhideWhenUsed/>
    <w:qFormat/>
    <w:uiPriority w:val="99"/>
    <w:pPr>
      <w:spacing w:line="626" w:lineRule="atLeast"/>
    </w:pPr>
    <w:rPr>
      <w:rFonts w:hint="eastAsia" w:ascii="楷体_GB2312" w:hAnsi="楷体_GB2312" w:eastAsia="楷体_GB2312" w:cstheme="minorBidi"/>
      <w:szCs w:val="22"/>
    </w:rPr>
  </w:style>
  <w:style w:type="paragraph" w:customStyle="1" w:styleId="18">
    <w:name w:val="CM81"/>
    <w:basedOn w:val="11"/>
    <w:next w:val="11"/>
    <w:unhideWhenUsed/>
    <w:qFormat/>
    <w:uiPriority w:val="99"/>
    <w:rPr>
      <w:rFonts w:hint="eastAsia" w:ascii="楷体_GB2312" w:hAnsi="楷体_GB2312" w:eastAsia="楷体_GB2312" w:cstheme="minorBidi"/>
      <w:szCs w:val="22"/>
    </w:rPr>
  </w:style>
  <w:style w:type="paragraph" w:customStyle="1" w:styleId="19">
    <w:name w:val="CM78"/>
    <w:basedOn w:val="11"/>
    <w:next w:val="11"/>
    <w:unhideWhenUsed/>
    <w:qFormat/>
    <w:uiPriority w:val="99"/>
    <w:pPr>
      <w:spacing w:line="626" w:lineRule="atLeast"/>
    </w:pPr>
    <w:rPr>
      <w:rFonts w:hint="eastAsia" w:ascii="楷体_GB2312" w:hAnsi="楷体_GB2312" w:eastAsia="楷体_GB2312" w:cstheme="minorBidi"/>
      <w:szCs w:val="22"/>
    </w:rPr>
  </w:style>
  <w:style w:type="character" w:customStyle="1" w:styleId="20">
    <w:name w:val="标题 1 字符"/>
    <w:basedOn w:val="8"/>
    <w:link w:val="2"/>
    <w:qFormat/>
    <w:uiPriority w:val="9"/>
    <w:rPr>
      <w:rFonts w:ascii="Times New Roman" w:hAnsi="Times New Roman" w:eastAsia="宋体" w:cs="Times New Roman"/>
      <w:b/>
      <w:bCs/>
      <w:kern w:val="44"/>
      <w:sz w:val="44"/>
      <w:szCs w:val="44"/>
    </w:rPr>
  </w:style>
  <w:style w:type="character" w:customStyle="1" w:styleId="21">
    <w:name w:val="批注框文本 字符"/>
    <w:basedOn w:val="8"/>
    <w:link w:val="3"/>
    <w:semiHidden/>
    <w:qFormat/>
    <w:uiPriority w:val="99"/>
    <w:rPr>
      <w:rFonts w:ascii="Times New Roman" w:hAnsi="Times New Roman" w:eastAsia="宋体" w:cs="Times New Roman"/>
      <w:kern w:val="2"/>
      <w:sz w:val="18"/>
      <w:szCs w:val="18"/>
    </w:r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
    <w:name w:val="章标题"/>
    <w:next w:val="2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389</Words>
  <Characters>2223</Characters>
  <Lines>18</Lines>
  <Paragraphs>5</Paragraphs>
  <TotalTime>41</TotalTime>
  <ScaleCrop>false</ScaleCrop>
  <LinksUpToDate>false</LinksUpToDate>
  <CharactersWithSpaces>2607</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2019-08-01T07:37:00Z</dcterms:created>
  <dc:creator>NTKO</dc:creator>
  <cp:lastModifiedBy>赵红焱</cp:lastModifiedBy>
  <dcterms:modified xsi:type="dcterms:W3CDTF">2019-08-27T09:06:09Z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